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19" w:rsidRPr="00751143" w:rsidRDefault="006A4719"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 w:rsidRPr="00751143">
        <w:rPr>
          <w:rFonts w:ascii="宋体" w:hAnsi="宋体" w:hint="eastAsia"/>
          <w:b/>
          <w:sz w:val="44"/>
          <w:szCs w:val="44"/>
        </w:rPr>
        <w:t>大连石油化工研究院简介</w:t>
      </w:r>
    </w:p>
    <w:p w:rsidR="006A4719" w:rsidRDefault="006A4719">
      <w:pPr>
        <w:spacing w:line="570" w:lineRule="exact"/>
        <w:jc w:val="center"/>
        <w:rPr>
          <w:rFonts w:ascii="仿宋_GB2312" w:eastAsia="仿宋_GB2312"/>
          <w:b/>
          <w:sz w:val="36"/>
          <w:szCs w:val="36"/>
        </w:rPr>
      </w:pPr>
    </w:p>
    <w:p w:rsidR="006D7744" w:rsidRPr="00751143" w:rsidRDefault="006D7744" w:rsidP="006D7744">
      <w:pPr>
        <w:spacing w:line="360" w:lineRule="auto"/>
        <w:ind w:firstLineChars="196" w:firstLine="549"/>
        <w:jc w:val="left"/>
        <w:rPr>
          <w:rFonts w:ascii="宋体" w:hAnsi="宋体"/>
          <w:sz w:val="28"/>
          <w:szCs w:val="28"/>
        </w:rPr>
      </w:pPr>
      <w:r w:rsidRPr="00751143">
        <w:rPr>
          <w:rFonts w:ascii="宋体" w:hAnsi="宋体" w:hint="eastAsia"/>
          <w:sz w:val="28"/>
          <w:szCs w:val="28"/>
        </w:rPr>
        <w:t>大连石油化工研究院于2017年9月正式投用，前身为成立于1953年的抚顺石油化工研究院，是国内最早从事石油炼制研究的科研单位。现有职工713人，具有高级及以上职称人员3</w:t>
      </w:r>
      <w:r w:rsidR="00FE067E">
        <w:rPr>
          <w:rFonts w:ascii="宋体" w:hAnsi="宋体" w:hint="eastAsia"/>
          <w:sz w:val="28"/>
          <w:szCs w:val="28"/>
        </w:rPr>
        <w:t>00多</w:t>
      </w:r>
      <w:r w:rsidRPr="00751143">
        <w:rPr>
          <w:rFonts w:ascii="宋体" w:hAnsi="宋体" w:hint="eastAsia"/>
          <w:sz w:val="28"/>
          <w:szCs w:val="28"/>
        </w:rPr>
        <w:t>人，其中中国工程院院士1人、国家级百千万人才工程1名、享受国务院政府特殊津贴专家12人、中国石化高级专家</w:t>
      </w:r>
      <w:r w:rsidR="00FE067E">
        <w:rPr>
          <w:rFonts w:ascii="宋体" w:hAnsi="宋体"/>
          <w:sz w:val="28"/>
          <w:szCs w:val="28"/>
        </w:rPr>
        <w:t>5</w:t>
      </w:r>
      <w:r w:rsidRPr="00751143">
        <w:rPr>
          <w:rFonts w:ascii="宋体" w:hAnsi="宋体" w:hint="eastAsia"/>
          <w:sz w:val="28"/>
          <w:szCs w:val="28"/>
        </w:rPr>
        <w:t>人、中国石化突出贡献专家18人。设有16个研发部门，拥有石油化工环境污染防治技术国家地方联合工程研究中心等20个国家和省部级挂靠机构，累计获国家科技进步奖和发明奖24项，省部级科研成果奖4</w:t>
      </w:r>
      <w:r w:rsidR="00FE067E">
        <w:rPr>
          <w:rFonts w:ascii="宋体" w:hAnsi="宋体"/>
          <w:sz w:val="28"/>
          <w:szCs w:val="28"/>
        </w:rPr>
        <w:t>50</w:t>
      </w:r>
      <w:r w:rsidR="00FE067E">
        <w:rPr>
          <w:rFonts w:ascii="宋体" w:hAnsi="宋体" w:hint="eastAsia"/>
          <w:sz w:val="28"/>
          <w:szCs w:val="28"/>
        </w:rPr>
        <w:t>余</w:t>
      </w:r>
      <w:r w:rsidRPr="00751143">
        <w:rPr>
          <w:rFonts w:ascii="宋体" w:hAnsi="宋体" w:hint="eastAsia"/>
          <w:sz w:val="28"/>
          <w:szCs w:val="28"/>
        </w:rPr>
        <w:t>项，申请国内外专利</w:t>
      </w:r>
      <w:r w:rsidR="00FE067E">
        <w:rPr>
          <w:rFonts w:ascii="宋体" w:hAnsi="宋体" w:hint="eastAsia"/>
          <w:sz w:val="28"/>
          <w:szCs w:val="28"/>
        </w:rPr>
        <w:t>超过1万</w:t>
      </w:r>
      <w:r w:rsidRPr="00751143">
        <w:rPr>
          <w:rFonts w:ascii="宋体" w:hAnsi="宋体" w:hint="eastAsia"/>
          <w:sz w:val="28"/>
          <w:szCs w:val="28"/>
        </w:rPr>
        <w:t>件，拥</w:t>
      </w:r>
      <w:bookmarkStart w:id="1" w:name="_GoBack"/>
      <w:bookmarkEnd w:id="1"/>
      <w:r w:rsidRPr="00751143">
        <w:rPr>
          <w:rFonts w:ascii="宋体" w:hAnsi="宋体" w:hint="eastAsia"/>
          <w:sz w:val="28"/>
          <w:szCs w:val="28"/>
        </w:rPr>
        <w:t>有中国石化专有技术364项。科研成果应用于俄日韩中亚等“一带一路”多个国家和地区以及全国30个省市自治区的780余套生产装置，是国内领先、国际知名的优质炼化技术供应商。</w:t>
      </w:r>
    </w:p>
    <w:p w:rsidR="006D7744" w:rsidRPr="00751143" w:rsidRDefault="006D7744" w:rsidP="006D7744">
      <w:pPr>
        <w:spacing w:line="360" w:lineRule="auto"/>
        <w:ind w:firstLineChars="196" w:firstLine="549"/>
        <w:jc w:val="left"/>
        <w:rPr>
          <w:rFonts w:ascii="宋体" w:hAnsi="宋体"/>
          <w:sz w:val="28"/>
          <w:szCs w:val="28"/>
        </w:rPr>
      </w:pPr>
      <w:proofErr w:type="gramStart"/>
      <w:r w:rsidRPr="00751143">
        <w:rPr>
          <w:rFonts w:ascii="宋体" w:hAnsi="宋体" w:hint="eastAsia"/>
          <w:sz w:val="28"/>
          <w:szCs w:val="28"/>
        </w:rPr>
        <w:t>院一直</w:t>
      </w:r>
      <w:proofErr w:type="gramEnd"/>
      <w:r w:rsidRPr="00751143">
        <w:rPr>
          <w:rFonts w:ascii="宋体" w:hAnsi="宋体" w:hint="eastAsia"/>
          <w:sz w:val="28"/>
          <w:szCs w:val="28"/>
        </w:rPr>
        <w:t>以石化发展、科技先行为己任，以奉献清洁能源、支撑碧水蓝天为使命，在各个历史时期有力地支撑炼油化工行业高质量发展,从为解决国家人造石油炼制技术而成立，到承担炼油工艺技术“五朵金花”中的催化重整、尿素脱蜡和加氢催化剂，再到实现加氢工艺及催化剂全部国产化，成为中国现代炼油技术从无到有的鲜明标志。上世纪80年代以来，持续为中国炼化工业从小到大、规模化发展提供稳定技术支撑，开发渣油加氢系列技术实现进口含硫原油加工和重油深度转化。国内首创重交通道路沥青生产技术，结束了我国没有高等级道路沥青的历史。持续迭代开发</w:t>
      </w:r>
      <w:proofErr w:type="gramStart"/>
      <w:r w:rsidRPr="00751143">
        <w:rPr>
          <w:rFonts w:ascii="宋体" w:hAnsi="宋体" w:hint="eastAsia"/>
          <w:sz w:val="28"/>
          <w:szCs w:val="28"/>
        </w:rPr>
        <w:t>清洁油品系列生产</w:t>
      </w:r>
      <w:proofErr w:type="gramEnd"/>
      <w:r w:rsidRPr="00751143">
        <w:rPr>
          <w:rFonts w:ascii="宋体" w:hAnsi="宋体" w:hint="eastAsia"/>
          <w:sz w:val="28"/>
          <w:szCs w:val="28"/>
        </w:rPr>
        <w:t>技术，</w:t>
      </w:r>
      <w:proofErr w:type="gramStart"/>
      <w:r w:rsidRPr="00751143">
        <w:rPr>
          <w:rFonts w:ascii="宋体" w:hAnsi="宋体" w:hint="eastAsia"/>
          <w:sz w:val="28"/>
          <w:szCs w:val="28"/>
        </w:rPr>
        <w:t>引领国</w:t>
      </w:r>
      <w:proofErr w:type="gramEnd"/>
      <w:r w:rsidRPr="00751143">
        <w:rPr>
          <w:rFonts w:ascii="宋体" w:hAnsi="宋体" w:hint="eastAsia"/>
          <w:sz w:val="28"/>
          <w:szCs w:val="28"/>
        </w:rPr>
        <w:t>I到国VI油品质量升级，首创“烷基转移再</w:t>
      </w:r>
      <w:r w:rsidRPr="00751143">
        <w:rPr>
          <w:rFonts w:ascii="宋体" w:hAnsi="宋体" w:hint="eastAsia"/>
          <w:sz w:val="28"/>
          <w:szCs w:val="28"/>
        </w:rPr>
        <w:lastRenderedPageBreak/>
        <w:t>脱硫”</w:t>
      </w:r>
      <w:proofErr w:type="gramStart"/>
      <w:r w:rsidRPr="00751143">
        <w:rPr>
          <w:rFonts w:ascii="宋体" w:hAnsi="宋体" w:hint="eastAsia"/>
          <w:sz w:val="28"/>
          <w:szCs w:val="28"/>
        </w:rPr>
        <w:t>柴油超</w:t>
      </w:r>
      <w:proofErr w:type="gramEnd"/>
      <w:r w:rsidRPr="00751143">
        <w:rPr>
          <w:rFonts w:ascii="宋体" w:hAnsi="宋体" w:hint="eastAsia"/>
          <w:sz w:val="28"/>
          <w:szCs w:val="28"/>
        </w:rPr>
        <w:t>深度脱硫技术，国内占比50%，年均减排</w:t>
      </w:r>
      <w:proofErr w:type="spellStart"/>
      <w:r w:rsidRPr="00751143">
        <w:rPr>
          <w:rFonts w:ascii="宋体" w:hAnsi="宋体" w:hint="eastAsia"/>
          <w:sz w:val="28"/>
          <w:szCs w:val="28"/>
        </w:rPr>
        <w:t>SOx</w:t>
      </w:r>
      <w:proofErr w:type="spellEnd"/>
      <w:r w:rsidRPr="00751143">
        <w:rPr>
          <w:rFonts w:ascii="宋体" w:hAnsi="宋体" w:hint="eastAsia"/>
          <w:sz w:val="28"/>
          <w:szCs w:val="28"/>
        </w:rPr>
        <w:t xml:space="preserve"> 100万吨以上。创新低质油品“变废为宝”加工手段，催化柴油高质利用、催化油浆调和</w:t>
      </w:r>
      <w:proofErr w:type="gramStart"/>
      <w:r w:rsidRPr="00751143">
        <w:rPr>
          <w:rFonts w:ascii="宋体" w:hAnsi="宋体" w:hint="eastAsia"/>
          <w:sz w:val="28"/>
          <w:szCs w:val="28"/>
        </w:rPr>
        <w:t>船燃技术</w:t>
      </w:r>
      <w:proofErr w:type="gramEnd"/>
      <w:r w:rsidRPr="00751143">
        <w:rPr>
          <w:rFonts w:ascii="宋体" w:hAnsi="宋体" w:hint="eastAsia"/>
          <w:sz w:val="28"/>
          <w:szCs w:val="28"/>
        </w:rPr>
        <w:t>解决企业生产迫切需求，渣油固定床技术总处理量近7</w:t>
      </w:r>
      <w:proofErr w:type="gramStart"/>
      <w:r w:rsidRPr="00751143">
        <w:rPr>
          <w:rFonts w:ascii="宋体" w:hAnsi="宋体" w:hint="eastAsia"/>
          <w:sz w:val="28"/>
          <w:szCs w:val="28"/>
        </w:rPr>
        <w:t>千万</w:t>
      </w:r>
      <w:proofErr w:type="gramEnd"/>
      <w:r w:rsidRPr="00751143">
        <w:rPr>
          <w:rFonts w:ascii="宋体" w:hAnsi="宋体" w:hint="eastAsia"/>
          <w:sz w:val="28"/>
          <w:szCs w:val="28"/>
        </w:rPr>
        <w:t>吨/年，国内占比41%，居各专利商第一。深刻把握油化结合产业趋势，开发以产品为靶向的“量体裁衣”加氢裂化技术，在系统内加氢裂化装置占有率89%，有力支撑炼厂产品结构调整。STRONG沸腾床技术打破国外垄断，处于世界领先水平，支撑企业长周期运行，入选中国</w:t>
      </w:r>
      <w:proofErr w:type="gramStart"/>
      <w:r w:rsidRPr="00751143">
        <w:rPr>
          <w:rFonts w:ascii="宋体" w:hAnsi="宋体" w:hint="eastAsia"/>
          <w:sz w:val="28"/>
          <w:szCs w:val="28"/>
        </w:rPr>
        <w:t>石化十</w:t>
      </w:r>
      <w:proofErr w:type="gramEnd"/>
      <w:r w:rsidRPr="00751143">
        <w:rPr>
          <w:rFonts w:ascii="宋体" w:hAnsi="宋体" w:hint="eastAsia"/>
          <w:sz w:val="28"/>
          <w:szCs w:val="28"/>
        </w:rPr>
        <w:t>大技术品牌。</w:t>
      </w:r>
      <w:proofErr w:type="spellStart"/>
      <w:r w:rsidRPr="00751143">
        <w:rPr>
          <w:rFonts w:ascii="宋体" w:hAnsi="宋体" w:hint="eastAsia"/>
          <w:sz w:val="28"/>
          <w:szCs w:val="28"/>
        </w:rPr>
        <w:t>SiRUT</w:t>
      </w:r>
      <w:proofErr w:type="spellEnd"/>
      <w:r w:rsidRPr="00751143">
        <w:rPr>
          <w:rFonts w:ascii="宋体" w:hAnsi="宋体" w:hint="eastAsia"/>
          <w:sz w:val="28"/>
          <w:szCs w:val="28"/>
        </w:rPr>
        <w:t>复合床技术可实现化工产品占70%以上，支撑炼厂从燃料型向化工型转型，正瞄准“五年一修”目标着力攻关。开发形成石化行业“三废”综合解决方案，牵头编制国家石化行业环保系列标准和规范，运营国内首家石化行业排污许可证申报试点，积极彰</w:t>
      </w:r>
      <w:proofErr w:type="gramStart"/>
      <w:r w:rsidRPr="00751143">
        <w:rPr>
          <w:rFonts w:ascii="宋体" w:hAnsi="宋体" w:hint="eastAsia"/>
          <w:sz w:val="28"/>
          <w:szCs w:val="28"/>
        </w:rPr>
        <w:t>显中国</w:t>
      </w:r>
      <w:proofErr w:type="gramEnd"/>
      <w:r w:rsidRPr="00751143">
        <w:rPr>
          <w:rFonts w:ascii="宋体" w:hAnsi="宋体" w:hint="eastAsia"/>
          <w:sz w:val="28"/>
          <w:szCs w:val="28"/>
        </w:rPr>
        <w:t>石化国企责任担当和</w:t>
      </w:r>
      <w:proofErr w:type="gramStart"/>
      <w:r w:rsidRPr="00751143">
        <w:rPr>
          <w:rFonts w:ascii="宋体" w:hAnsi="宋体" w:hint="eastAsia"/>
          <w:sz w:val="28"/>
          <w:szCs w:val="28"/>
        </w:rPr>
        <w:t>环保正</w:t>
      </w:r>
      <w:proofErr w:type="gramEnd"/>
      <w:r w:rsidRPr="00751143">
        <w:rPr>
          <w:rFonts w:ascii="宋体" w:hAnsi="宋体" w:hint="eastAsia"/>
          <w:sz w:val="28"/>
          <w:szCs w:val="28"/>
        </w:rPr>
        <w:t>能量。高水平推进长江经济带石化类场地污染治理，支撑沿江企业从污染物“近零”排放向“净零”排放迈进。发挥中国石化环境监测总站作用，开发石化烟气、VOCs治理</w:t>
      </w:r>
      <w:proofErr w:type="gramStart"/>
      <w:r w:rsidRPr="00751143">
        <w:rPr>
          <w:rFonts w:ascii="宋体" w:hAnsi="宋体" w:hint="eastAsia"/>
          <w:sz w:val="28"/>
          <w:szCs w:val="28"/>
        </w:rPr>
        <w:t>技术年减排</w:t>
      </w:r>
      <w:proofErr w:type="gramEnd"/>
      <w:r w:rsidRPr="00751143">
        <w:rPr>
          <w:rFonts w:ascii="宋体" w:hAnsi="宋体" w:hint="eastAsia"/>
          <w:sz w:val="28"/>
          <w:szCs w:val="28"/>
        </w:rPr>
        <w:t>NOx 6万吨以上、VOCs 11万吨以上，为“美丽中国”建设做出突出贡献。</w:t>
      </w:r>
    </w:p>
    <w:p w:rsidR="006A4719" w:rsidRPr="00751143" w:rsidRDefault="006D7744" w:rsidP="006D7744">
      <w:pPr>
        <w:spacing w:line="360" w:lineRule="auto"/>
        <w:ind w:firstLineChars="196" w:firstLine="549"/>
        <w:jc w:val="left"/>
        <w:rPr>
          <w:rFonts w:ascii="宋体" w:hAnsi="宋体"/>
          <w:sz w:val="28"/>
          <w:szCs w:val="28"/>
        </w:rPr>
      </w:pPr>
      <w:r w:rsidRPr="00751143">
        <w:rPr>
          <w:rFonts w:ascii="宋体" w:hAnsi="宋体" w:hint="eastAsia"/>
          <w:sz w:val="28"/>
          <w:szCs w:val="28"/>
        </w:rPr>
        <w:t>2020年起，深入贯彻党组关于实施“世界领先发展方略”、构建“</w:t>
      </w:r>
      <w:proofErr w:type="gramStart"/>
      <w:r w:rsidRPr="00751143">
        <w:rPr>
          <w:rFonts w:ascii="宋体" w:hAnsi="宋体" w:hint="eastAsia"/>
          <w:sz w:val="28"/>
          <w:szCs w:val="28"/>
        </w:rPr>
        <w:t>一</w:t>
      </w:r>
      <w:proofErr w:type="gramEnd"/>
      <w:r w:rsidRPr="00751143">
        <w:rPr>
          <w:rFonts w:ascii="宋体" w:hAnsi="宋体" w:hint="eastAsia"/>
          <w:sz w:val="28"/>
          <w:szCs w:val="28"/>
        </w:rPr>
        <w:t>基两翼三新”产业格局和“四个一批”科技创新总体部署的指示要求，以“四个面向”为遵循，集中优势力量布局五大技术领域（即清洁炼油技术、公用技术、新兴能源资源技术、石化新材料技术、新一代信息技术）。“两翼”方面，持续发挥传统领域技术优势，聚焦碳中和下能源格局、炼油产品结构调整研究，为中国石化油转化、化工转型提供技术支撑。“三</w:t>
      </w:r>
      <w:r w:rsidRPr="00751143">
        <w:rPr>
          <w:rFonts w:ascii="宋体" w:hAnsi="宋体" w:hint="eastAsia"/>
          <w:sz w:val="28"/>
          <w:szCs w:val="28"/>
        </w:rPr>
        <w:lastRenderedPageBreak/>
        <w:t>新”方面，积极打造五个技术平台，在氢能、可降解材料、高端碳材料、碳中和、智能炼厂优化软件国产化领域取得了阶段新突破。未来，大连石油化工研究院将以高质量党建推动高质量发展，深入推进科技体制改革，强化人才队伍建设，围绕“建设世界一流能源化工科学研究院”</w:t>
      </w:r>
      <w:proofErr w:type="gramStart"/>
      <w:r w:rsidRPr="00751143">
        <w:rPr>
          <w:rFonts w:ascii="宋体" w:hAnsi="宋体" w:hint="eastAsia"/>
          <w:sz w:val="28"/>
          <w:szCs w:val="28"/>
        </w:rPr>
        <w:t>愿景目标</w:t>
      </w:r>
      <w:proofErr w:type="gramEnd"/>
      <w:r w:rsidRPr="00751143">
        <w:rPr>
          <w:rFonts w:ascii="宋体" w:hAnsi="宋体" w:hint="eastAsia"/>
          <w:sz w:val="28"/>
          <w:szCs w:val="28"/>
        </w:rPr>
        <w:t>和“矢志成为洁净能源解决方案引领者”阶段奋斗目标，瞄准技术领先、着力提升原始创新能力，奋力打好关键核心技术攻坚战，更高水平发挥科技创新支撑引领作用，为中国石化打造世界领先洁净能源化工公司和技术先导型公司</w:t>
      </w:r>
      <w:proofErr w:type="gramStart"/>
      <w:r w:rsidRPr="00751143">
        <w:rPr>
          <w:rFonts w:ascii="宋体" w:hAnsi="宋体" w:hint="eastAsia"/>
          <w:sz w:val="28"/>
          <w:szCs w:val="28"/>
        </w:rPr>
        <w:t>作出</w:t>
      </w:r>
      <w:proofErr w:type="gramEnd"/>
      <w:r w:rsidRPr="00751143">
        <w:rPr>
          <w:rFonts w:ascii="宋体" w:hAnsi="宋体" w:hint="eastAsia"/>
          <w:sz w:val="28"/>
          <w:szCs w:val="28"/>
        </w:rPr>
        <w:t>新的贡献。</w:t>
      </w:r>
    </w:p>
    <w:p w:rsidR="00B26EF0" w:rsidRPr="00751143" w:rsidRDefault="00B26EF0" w:rsidP="006D7744">
      <w:pPr>
        <w:spacing w:line="360" w:lineRule="auto"/>
        <w:ind w:firstLineChars="196" w:firstLine="549"/>
        <w:jc w:val="left"/>
        <w:rPr>
          <w:rFonts w:ascii="宋体" w:hAnsi="宋体"/>
          <w:sz w:val="28"/>
          <w:szCs w:val="28"/>
        </w:rPr>
      </w:pPr>
    </w:p>
    <w:p w:rsidR="00B26EF0" w:rsidRPr="00751143" w:rsidRDefault="00B26EF0" w:rsidP="006D7744">
      <w:pPr>
        <w:spacing w:line="360" w:lineRule="auto"/>
        <w:ind w:firstLineChars="196" w:firstLine="549"/>
        <w:jc w:val="left"/>
        <w:rPr>
          <w:rFonts w:ascii="宋体" w:hAnsi="宋体" w:cs="仿宋_GB2312"/>
          <w:bCs/>
          <w:sz w:val="28"/>
          <w:szCs w:val="28"/>
        </w:rPr>
        <w:sectPr w:rsidR="00B26EF0" w:rsidRPr="00751143">
          <w:footerReference w:type="default" r:id="rId7"/>
          <w:footerReference w:type="first" r:id="rId8"/>
          <w:pgSz w:w="11906" w:h="16838"/>
          <w:pgMar w:top="1561" w:right="1274" w:bottom="1276" w:left="1418" w:header="851" w:footer="992" w:gutter="0"/>
          <w:pgNumType w:fmt="numberInDash"/>
          <w:cols w:space="720"/>
          <w:titlePg/>
          <w:docGrid w:type="lines" w:linePitch="312"/>
        </w:sectPr>
      </w:pPr>
      <w:r w:rsidRPr="00751143">
        <w:rPr>
          <w:rFonts w:ascii="宋体" w:hAnsi="宋体" w:hint="eastAsia"/>
          <w:sz w:val="28"/>
          <w:szCs w:val="28"/>
        </w:rPr>
        <w:t>公司网址：</w:t>
      </w:r>
      <w:r w:rsidRPr="00751143">
        <w:rPr>
          <w:rFonts w:ascii="宋体" w:hAnsi="宋体"/>
          <w:sz w:val="28"/>
          <w:szCs w:val="28"/>
        </w:rPr>
        <w:t>http://fripp.sinopec.com/fripp/</w:t>
      </w:r>
    </w:p>
    <w:p w:rsidR="006A4719" w:rsidRPr="00D544E1" w:rsidRDefault="006A4719">
      <w:pPr>
        <w:pStyle w:val="1"/>
        <w:rPr>
          <w:rFonts w:ascii="方正小标宋简体" w:eastAsia="方正小标宋简体"/>
        </w:rPr>
      </w:pPr>
      <w:bookmarkStart w:id="2" w:name="_Toc12542856"/>
      <w:r w:rsidRPr="00D544E1">
        <w:rPr>
          <w:rFonts w:ascii="方正小标宋简体" w:eastAsia="方正小标宋简体" w:hint="eastAsia"/>
        </w:rPr>
        <w:lastRenderedPageBreak/>
        <w:t>大连石油化工研究院院区示意图</w:t>
      </w:r>
      <w:bookmarkEnd w:id="2"/>
    </w:p>
    <w:p w:rsidR="006A4719" w:rsidRDefault="003D1590">
      <w:bookmarkStart w:id="3" w:name="_Toc11690102"/>
      <w:r>
        <w:rPr>
          <w:noProof/>
        </w:rPr>
        <w:drawing>
          <wp:inline distT="0" distB="0" distL="0" distR="0">
            <wp:extent cx="8896350" cy="4124325"/>
            <wp:effectExtent l="0" t="0" r="0" b="0"/>
            <wp:docPr id="2" name="图片 2" descr="745493692710025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7454936927100256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:rsidR="006A4719" w:rsidRDefault="006A4719">
      <w:pPr>
        <w:wordWrap w:val="0"/>
        <w:jc w:val="right"/>
        <w:rPr>
          <w:b/>
        </w:rPr>
      </w:pPr>
      <w:r>
        <w:rPr>
          <w:rFonts w:hint="eastAsia"/>
          <w:b/>
        </w:rPr>
        <w:t>中国石油化工股份有限公司大连石油化工研究院</w:t>
      </w:r>
    </w:p>
    <w:p w:rsidR="006A4719" w:rsidRDefault="006A4719">
      <w:pPr>
        <w:jc w:val="right"/>
      </w:pPr>
      <w:r>
        <w:rPr>
          <w:rFonts w:hint="eastAsia"/>
          <w:b/>
        </w:rPr>
        <w:t>地址：辽宁省大连市旅顺口区南开街</w:t>
      </w:r>
      <w:r>
        <w:rPr>
          <w:rFonts w:hint="eastAsia"/>
          <w:b/>
        </w:rPr>
        <w:t>96</w:t>
      </w:r>
      <w:r>
        <w:rPr>
          <w:rFonts w:hint="eastAsia"/>
          <w:b/>
        </w:rPr>
        <w:t>号</w:t>
      </w:r>
      <w:bookmarkEnd w:id="0"/>
    </w:p>
    <w:sectPr w:rsidR="006A4719">
      <w:headerReference w:type="default" r:id="rId10"/>
      <w:pgSz w:w="16838" w:h="11906" w:orient="landscape"/>
      <w:pgMar w:top="1418" w:right="1559" w:bottom="1276" w:left="1276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1E7" w:rsidRDefault="00BF41E7">
      <w:r>
        <w:separator/>
      </w:r>
    </w:p>
  </w:endnote>
  <w:endnote w:type="continuationSeparator" w:id="0">
    <w:p w:rsidR="00BF41E7" w:rsidRDefault="00BF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719" w:rsidRDefault="006A471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E067E" w:rsidRPr="00FE067E">
      <w:rPr>
        <w:noProof/>
        <w:lang w:val="zh-CN"/>
      </w:rPr>
      <w:t>-</w:t>
    </w:r>
    <w:r w:rsidR="00FE067E">
      <w:rPr>
        <w:noProof/>
      </w:rPr>
      <w:t xml:space="preserve"> 3 -</w:t>
    </w:r>
    <w:r>
      <w:fldChar w:fldCharType="end"/>
    </w:r>
  </w:p>
  <w:p w:rsidR="006A4719" w:rsidRDefault="006A47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719" w:rsidRDefault="006A471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E067E" w:rsidRPr="00FE067E">
      <w:rPr>
        <w:noProof/>
        <w:lang w:val="zh-CN"/>
      </w:rPr>
      <w:t>-</w:t>
    </w:r>
    <w:r w:rsidR="00FE067E">
      <w:rPr>
        <w:noProof/>
      </w:rPr>
      <w:t xml:space="preserve"> 4 -</w:t>
    </w:r>
    <w:r>
      <w:fldChar w:fldCharType="end"/>
    </w:r>
  </w:p>
  <w:p w:rsidR="006A4719" w:rsidRDefault="006A471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1E7" w:rsidRDefault="00BF41E7">
      <w:r>
        <w:separator/>
      </w:r>
    </w:p>
  </w:footnote>
  <w:footnote w:type="continuationSeparator" w:id="0">
    <w:p w:rsidR="00BF41E7" w:rsidRDefault="00BF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719" w:rsidRDefault="006A47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D0821"/>
    <w:multiLevelType w:val="multilevel"/>
    <w:tmpl w:val="4A6D08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200918"/>
    <w:multiLevelType w:val="multilevel"/>
    <w:tmpl w:val="7220091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E067E"/>
    <w:rsid w:val="00FE1686"/>
    <w:rsid w:val="00FE1804"/>
    <w:rsid w:val="00FE317D"/>
    <w:rsid w:val="00FE5923"/>
    <w:rsid w:val="00FF09B9"/>
    <w:rsid w:val="00FF0E14"/>
    <w:rsid w:val="00FF333D"/>
    <w:rsid w:val="00FF6BB5"/>
    <w:rsid w:val="00FF74E0"/>
    <w:rsid w:val="170965A2"/>
    <w:rsid w:val="24C00E6B"/>
    <w:rsid w:val="2A097105"/>
    <w:rsid w:val="2E902101"/>
    <w:rsid w:val="31C754DD"/>
    <w:rsid w:val="400E719C"/>
    <w:rsid w:val="44CC5DE9"/>
    <w:rsid w:val="4B647629"/>
    <w:rsid w:val="4F1667AC"/>
    <w:rsid w:val="5023323D"/>
    <w:rsid w:val="55F36D31"/>
    <w:rsid w:val="67627039"/>
    <w:rsid w:val="75F57AEA"/>
    <w:rsid w:val="772A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D3939D-B7F2-464D-B651-F7370053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rFonts w:eastAsia="Times New Roman"/>
      <w:sz w:val="30"/>
      <w:szCs w:val="18"/>
    </w:rPr>
  </w:style>
  <w:style w:type="character" w:customStyle="1" w:styleId="Char1">
    <w:name w:val="批注框文本 Char"/>
    <w:link w:val="a5"/>
    <w:uiPriority w:val="99"/>
    <w:semiHidden/>
    <w:rPr>
      <w:sz w:val="18"/>
      <w:szCs w:val="18"/>
    </w:rPr>
  </w:style>
  <w:style w:type="character" w:styleId="a6">
    <w:name w:val="Hyperlink"/>
    <w:uiPriority w:val="99"/>
    <w:unhideWhenUsed/>
    <w:rPr>
      <w:color w:val="0563C1"/>
      <w:u w:val="single"/>
    </w:rPr>
  </w:style>
  <w:style w:type="character" w:customStyle="1" w:styleId="1Char">
    <w:name w:val="标题 1 Char"/>
    <w:link w:val="1"/>
    <w:uiPriority w:val="9"/>
    <w:rPr>
      <w:rFonts w:eastAsia="方正大标宋简体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0">
    <w:name w:val="toc 1"/>
    <w:basedOn w:val="a"/>
    <w:next w:val="a"/>
    <w:uiPriority w:val="39"/>
    <w:unhideWhenUsed/>
  </w:style>
  <w:style w:type="paragraph" w:styleId="a5">
    <w:name w:val="Balloon Text"/>
    <w:basedOn w:val="a"/>
    <w:link w:val="Char1"/>
    <w:uiPriority w:val="99"/>
    <w:unhideWhenUsed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TOC">
    <w:name w:val="TOC Heading"/>
    <w:basedOn w:val="1"/>
    <w:next w:val="a"/>
    <w:uiPriority w:val="39"/>
    <w:qFormat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/>
      <w:b w:val="0"/>
      <w:bCs w:val="0"/>
      <w:color w:val="2E74B5"/>
      <w:kern w:val="0"/>
      <w:sz w:val="32"/>
      <w:szCs w:val="32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Links>
    <vt:vector size="42" baseType="variant"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_Toc12542856</vt:lpwstr>
      </vt:variant>
      <vt:variant>
        <vt:i4>1900595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_Toc12542854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_Toc12542854</vt:lpwstr>
      </vt:variant>
      <vt:variant>
        <vt:i4>1703987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_Toc12542853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_Toc12542850</vt:lpwstr>
      </vt:variant>
      <vt:variant>
        <vt:i4>1638451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_Toc12542850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_Toc12542849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赵胜楠</dc:creator>
  <cp:keywords/>
  <cp:lastModifiedBy>赵光宇</cp:lastModifiedBy>
  <cp:revision>18</cp:revision>
  <cp:lastPrinted>2020-12-07T12:19:00Z</cp:lastPrinted>
  <dcterms:created xsi:type="dcterms:W3CDTF">2021-03-11T02:37:00Z</dcterms:created>
  <dcterms:modified xsi:type="dcterms:W3CDTF">2023-02-21T00:33:00Z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